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5" w:rsidRPr="00A41115" w:rsidRDefault="00A41115" w:rsidP="00A41115">
      <w:pPr>
        <w:pStyle w:val="ConsPlusNormal"/>
        <w:spacing w:before="240"/>
        <w:ind w:firstLine="540"/>
        <w:jc w:val="center"/>
        <w:rPr>
          <w:b/>
        </w:rPr>
      </w:pPr>
      <w:bookmarkStart w:id="0" w:name="_GoBack"/>
      <w:r w:rsidRPr="00A41115">
        <w:rPr>
          <w:b/>
        </w:rPr>
        <w:t>ПЕРЕЧЕНЬ ДОКУМЕНТОВ</w:t>
      </w:r>
    </w:p>
    <w:bookmarkEnd w:id="0"/>
    <w:p w:rsidR="00A41115" w:rsidRDefault="00A41115" w:rsidP="00A41115">
      <w:pPr>
        <w:pStyle w:val="ConsPlusNormal"/>
        <w:spacing w:before="240"/>
        <w:ind w:firstLine="540"/>
        <w:jc w:val="both"/>
      </w:pPr>
      <w:r>
        <w:t>2.8.1. копию паспорта гражданина Российской Федерации (второй, третьей страницы и страницы с отметкой о регистрации по месту жительства на момент подачи заявки на конкурс) (для участников отбора, за исключением юридических лиц);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2.8.2. копию соглашения о создании КФХ, оформленного в соответствии с требованиями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11.06.2003 N 74-ФЗ "О крестьянском (фермерском) хозяйстве", а также копии документов, подтверждающих родство членов КФХ или нахождение их в зарегистрированном браке;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>2.8.3. отчет N 1-КФХ (информация о производственной деятельности) за предшествующий год);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2.8.4. гарантийное </w:t>
      </w:r>
      <w:hyperlink w:anchor="Par562" w:tooltip="               Гарантийное письмо о выполнении обязательств" w:history="1">
        <w:r>
          <w:rPr>
            <w:color w:val="0000FF"/>
          </w:rPr>
          <w:t>письмо</w:t>
        </w:r>
      </w:hyperlink>
      <w:r>
        <w:t xml:space="preserve"> о выполнении обязательств, предусмотренных </w:t>
      </w:r>
      <w:hyperlink w:anchor="Par102" w:tooltip="2.6.5. участник отбора, ранее получавший грант на развитие семейной фермы, завершил реализацию проекта грантополучателя на развитие семейной фермы на который ранее был получен грант, при условии:" w:history="1">
        <w:r>
          <w:rPr>
            <w:color w:val="0000FF"/>
          </w:rPr>
          <w:t>подпунктом 2.6.5 пункта 2.6</w:t>
        </w:r>
      </w:hyperlink>
      <w:r>
        <w:t xml:space="preserve"> настоящего Порядка, по форме согласно приложению N 1 к настоящему Порядку (для участников отбора ранее получавших грант на развитие семейной фермы);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2.8.5. проект </w:t>
      </w:r>
      <w:proofErr w:type="spellStart"/>
      <w:r>
        <w:t>грантополучателя</w:t>
      </w:r>
      <w:proofErr w:type="spellEnd"/>
      <w:r>
        <w:t xml:space="preserve"> (бизнес-план) на период не менее 5 лет после получения гранта по форме, утверждаемой приказом Министерства;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2.8.6. копии правоустанавливающих документов на земельный участок, на котором планируется осуществление деятельности, связанной с реализацией проекта </w:t>
      </w:r>
      <w:proofErr w:type="spellStart"/>
      <w:r>
        <w:t>грантополучателя</w:t>
      </w:r>
      <w:proofErr w:type="spellEnd"/>
      <w:r>
        <w:t>, или иных документов, подтверждающих право пользования таким земельным участком на законных основаниях на срок не менее 5 лет.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проекту </w:t>
      </w:r>
      <w:proofErr w:type="spellStart"/>
      <w:r>
        <w:t>грантополучателя</w:t>
      </w:r>
      <w:proofErr w:type="spellEnd"/>
      <w:r>
        <w:t>.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>В случае если на земельном участке, находящемся в частной собственности и предоставленном участнику отбора в пользование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>2.8.7. копии правоустанавливающих или иных документов, подтверждающих право собственности участника отбора на объекты для производства и переработки сельскохозяйственной продукции, реконструкция, ремонт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>2.8.8. 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средств гранта);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>2.8.9. копии договоров (предварительных договоров) на: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приобретение товаров, оказание услуг, выполнение работ в соответствии с планом расходов, предусмотренным проектом </w:t>
      </w:r>
      <w:proofErr w:type="spellStart"/>
      <w:r>
        <w:t>грантополучателя</w:t>
      </w:r>
      <w:proofErr w:type="spellEnd"/>
      <w:r>
        <w:t xml:space="preserve"> (в том числе на разработку проектной документации на строительство,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гранта). Существенным условием </w:t>
      </w:r>
      <w:r>
        <w:lastRenderedPageBreak/>
        <w:t xml:space="preserve">которых является условие о согласии продавца (исполнителя, поставщика) на проведение в отношении него Министерством проверок соблюдения продавцом (исполнителем, поставщиком)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</w:t>
      </w:r>
      <w:hyperlink r:id="rId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>реализацию сельскохозяйственной продукции;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2.8.10. 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10 процентов затрат, указанных в плане расходов, предусмотренном проектом </w:t>
      </w:r>
      <w:proofErr w:type="spellStart"/>
      <w:r>
        <w:t>грантополучателя</w:t>
      </w:r>
      <w:proofErr w:type="spellEnd"/>
      <w:r>
        <w:t>, выданную банком не ранее 5 календарных дней до даты подачи заявки на конкурс (с отметкой банка);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2.8.11. гарантийное </w:t>
      </w:r>
      <w:hyperlink w:anchor="Par597" w:tooltip="               Гарантийное письмо о выполнении обязательств" w:history="1">
        <w:r>
          <w:rPr>
            <w:color w:val="0000FF"/>
          </w:rPr>
          <w:t>письмо</w:t>
        </w:r>
      </w:hyperlink>
      <w:r>
        <w:t xml:space="preserve"> о выполнении обязательств, предусмотренных </w:t>
      </w:r>
      <w:hyperlink w:anchor="Par117" w:tooltip="2.6.12. участник отбора обязуется оплачивать за счет собственных средств не менее 40 процентов стоимости затрат, указанных в плане расходов, предусмотренном проектом грантополучателя, в случае использования средств гранта на цели, указанные в абзаце шестом пункта 3.9 настоящего Порядка, - не менее 20 процентов затрат;" w:history="1">
        <w:r>
          <w:rPr>
            <w:color w:val="0000FF"/>
          </w:rPr>
          <w:t>подпунктами 2.6.12</w:t>
        </w:r>
      </w:hyperlink>
      <w:r>
        <w:t xml:space="preserve"> - </w:t>
      </w:r>
      <w:hyperlink w:anchor="Par119" w:tooltip="2.6.14. участник отбора предоставляет обязательства в случае получения гранта не менее чем 5 лет со дня получения гранта (поступления средств гранта на его лицевой счет, открытый в Управлении Федерального казначейства по Тамбовской области) (далее - УФК по Тамбовской области):" w:history="1">
        <w:r>
          <w:rPr>
            <w:color w:val="0000FF"/>
          </w:rPr>
          <w:t>2.6.14 пункта 2.6</w:t>
        </w:r>
      </w:hyperlink>
      <w:r>
        <w:t xml:space="preserve"> настоящего Порядка, по форме согласно приложению N 2 к настоящему Порядку;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bookmarkStart w:id="1" w:name="Par145"/>
      <w:bookmarkEnd w:id="1"/>
      <w:r>
        <w:t xml:space="preserve">2.8.12. выписку из Единого государственного реестра юридических лиц (Единого государственного реестра индивидуальных предпринимателей), выданную Федеральной налоговой службой или полученную посредством использования сервисов официального </w:t>
      </w:r>
      <w:proofErr w:type="spellStart"/>
      <w:r>
        <w:t>интернет-ресурса</w:t>
      </w:r>
      <w:proofErr w:type="spellEnd"/>
      <w:r>
        <w:t xml:space="preserve"> Федеральной налоговой службы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</w:t>
      </w:r>
    </w:p>
    <w:p w:rsidR="00A41115" w:rsidRDefault="00A41115" w:rsidP="00A41115">
      <w:pPr>
        <w:pStyle w:val="ConsPlusNormal"/>
        <w:spacing w:before="240"/>
        <w:ind w:firstLine="540"/>
        <w:jc w:val="both"/>
      </w:pPr>
      <w:r>
        <w:t xml:space="preserve">Участник отбора вправе представить по собственной инициативе документ, указанный в </w:t>
      </w:r>
      <w:hyperlink w:anchor="Par145" w:tooltip="2.8.12. выписку из Единого государственного реестра юридических лиц (Единого государственного реестра индивидуальных предпринимателей), выданную Федеральной налоговой службой или полученную посредством использования сервисов официального интернет-ресурса Федеральной налоговой службы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" w:history="1">
        <w:r>
          <w:rPr>
            <w:color w:val="0000FF"/>
          </w:rPr>
          <w:t>абзаце первом</w:t>
        </w:r>
      </w:hyperlink>
      <w:r>
        <w:t xml:space="preserve"> настоящего подпункта. В случае если участник отбора не представил по собственной инициативе выписку из Единого государственного реестра юридических лиц (Единого государственного реестра индивидуальных предпринимателей), Министерство запрашивает ее посредством межведомственного взаимодействия.</w:t>
      </w:r>
    </w:p>
    <w:p w:rsidR="00C06365" w:rsidRDefault="00C06365"/>
    <w:sectPr w:rsidR="00C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5"/>
    <w:rsid w:val="00A41115"/>
    <w:rsid w:val="00C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F1C7"/>
  <w15:chartTrackingRefBased/>
  <w15:docId w15:val="{42BC6E65-BB5F-48B7-9C8A-A459CEB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ate=02.04.2024&amp;dst=3722&amp;field=134" TargetMode="External"/><Relationship Id="rId5" Type="http://schemas.openxmlformats.org/officeDocument/2006/relationships/hyperlink" Target="https://login.consultant.ru/link/?req=doc&amp;base=LAW&amp;n=470713&amp;date=02.04.2024&amp;dst=3704&amp;field=134" TargetMode="External"/><Relationship Id="rId4" Type="http://schemas.openxmlformats.org/officeDocument/2006/relationships/hyperlink" Target="https://login.consultant.ru/link/?req=doc&amp;base=LAW&amp;n=394431&amp;date=02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2024-04-04T13:21:00Z</dcterms:created>
  <dcterms:modified xsi:type="dcterms:W3CDTF">2024-04-04T13:22:00Z</dcterms:modified>
</cp:coreProperties>
</file>